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A7D11" w14:textId="47FCDC0E" w:rsidR="0097338A" w:rsidRPr="001A1691" w:rsidRDefault="0097338A" w:rsidP="001A1691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  <w:r w:rsidRPr="001A1691">
        <w:rPr>
          <w:rFonts w:ascii="Tahoma" w:hAnsi="Tahoma" w:cs="Tahoma"/>
          <w:szCs w:val="24"/>
        </w:rPr>
        <w:t>Załącznik nr</w:t>
      </w:r>
      <w:r w:rsidR="00643B21" w:rsidRPr="001A1691">
        <w:rPr>
          <w:rFonts w:ascii="Tahoma" w:hAnsi="Tahoma" w:cs="Tahoma"/>
          <w:szCs w:val="24"/>
        </w:rPr>
        <w:t xml:space="preserve"> 2 </w:t>
      </w:r>
      <w:r w:rsidRPr="001A1691">
        <w:rPr>
          <w:rFonts w:ascii="Tahoma" w:hAnsi="Tahoma" w:cs="Tahoma"/>
          <w:szCs w:val="24"/>
        </w:rPr>
        <w:t xml:space="preserve"> </w:t>
      </w:r>
    </w:p>
    <w:p w14:paraId="30CF522B" w14:textId="0545072D" w:rsidR="0020154D" w:rsidRPr="001A1691" w:rsidRDefault="0097338A" w:rsidP="001A1691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  <w:r w:rsidRPr="001A1691">
        <w:rPr>
          <w:rFonts w:ascii="Tahoma" w:hAnsi="Tahoma" w:cs="Tahoma"/>
          <w:szCs w:val="24"/>
        </w:rPr>
        <w:t xml:space="preserve">do sprawy DLG-A </w:t>
      </w:r>
      <w:r w:rsidR="00942B26" w:rsidRPr="001A1691">
        <w:rPr>
          <w:rFonts w:ascii="Tahoma" w:hAnsi="Tahoma" w:cs="Tahoma"/>
          <w:szCs w:val="24"/>
        </w:rPr>
        <w:t>6603410</w:t>
      </w:r>
    </w:p>
    <w:p w14:paraId="22B8E5CE" w14:textId="77777777" w:rsidR="0097338A" w:rsidRPr="001A1691" w:rsidRDefault="0097338A" w:rsidP="001A1691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</w:p>
    <w:p w14:paraId="7B41E56E" w14:textId="19E064FB" w:rsidR="0097338A" w:rsidRPr="001A1691" w:rsidRDefault="0097338A" w:rsidP="001A1691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  <w:r w:rsidRPr="001A1691">
        <w:rPr>
          <w:rFonts w:ascii="Tahoma" w:hAnsi="Tahoma" w:cs="Tahoma"/>
          <w:szCs w:val="24"/>
        </w:rPr>
        <w:t xml:space="preserve">SZCZEGÓŁOWY OPIS PRZEDMIOTU </w:t>
      </w:r>
      <w:r w:rsidR="00D978CA">
        <w:rPr>
          <w:rFonts w:ascii="Tahoma" w:hAnsi="Tahoma" w:cs="Tahoma"/>
          <w:szCs w:val="24"/>
        </w:rPr>
        <w:t>ZAMÓWIENIA</w:t>
      </w:r>
    </w:p>
    <w:p w14:paraId="2A0BACDD" w14:textId="77777777" w:rsidR="0097338A" w:rsidRPr="001A1691" w:rsidRDefault="0097338A" w:rsidP="001A1691">
      <w:pPr>
        <w:pStyle w:val="Tekstpodstawowywcity"/>
        <w:spacing w:line="360" w:lineRule="auto"/>
        <w:ind w:left="0" w:firstLine="0"/>
        <w:rPr>
          <w:rFonts w:ascii="Tahoma" w:hAnsi="Tahoma" w:cs="Tahoma"/>
          <w:szCs w:val="24"/>
        </w:rPr>
      </w:pPr>
    </w:p>
    <w:p w14:paraId="455D2034" w14:textId="1B596D9B" w:rsidR="00F20936" w:rsidRPr="001A1691" w:rsidRDefault="0097338A" w:rsidP="001A1691">
      <w:pPr>
        <w:spacing w:line="360" w:lineRule="auto"/>
        <w:rPr>
          <w:rFonts w:ascii="Tahoma" w:hAnsi="Tahoma" w:cs="Tahoma"/>
          <w:b/>
        </w:rPr>
      </w:pPr>
      <w:r w:rsidRPr="001A1691">
        <w:rPr>
          <w:rFonts w:ascii="Tahoma" w:hAnsi="Tahoma" w:cs="Tahoma"/>
        </w:rPr>
        <w:t>Przedmiot zamówienia</w:t>
      </w:r>
      <w:r w:rsidRPr="001A1691">
        <w:rPr>
          <w:rFonts w:ascii="Tahoma" w:hAnsi="Tahoma" w:cs="Tahoma"/>
          <w:b/>
        </w:rPr>
        <w:t xml:space="preserve">:  Dostawa i montaż </w:t>
      </w:r>
      <w:r w:rsidR="00BE16F1" w:rsidRPr="001A1691">
        <w:rPr>
          <w:rFonts w:ascii="Tahoma" w:hAnsi="Tahoma" w:cs="Tahoma"/>
          <w:b/>
        </w:rPr>
        <w:t>termocyklera (opartego na elementach Peltiera) umożliwiającego wizualizację reakcji RT-PCR w czasie rzeczywistym</w:t>
      </w:r>
      <w:r w:rsidR="00F20936" w:rsidRPr="001A1691">
        <w:rPr>
          <w:rFonts w:ascii="Tahoma" w:hAnsi="Tahoma" w:cs="Tahoma"/>
          <w:b/>
        </w:rPr>
        <w:t xml:space="preserve"> (1 kpl.)  w ramach przedsięwzięcia pn. „Test do wczesnego wykrywania tętniaków aorty brzusznej bazujący na predykcyjnych biomarkerach molekularnych” finansowanego przez Unię Europejską w ramach Krajowego Planu Odbudowy i Zwiększania Odporności, będącego elementem Inwestycji D3.1.1 Kompleksowy rozwój badań w zakresie nauk medycznych i nauk o zdrowiu     </w:t>
      </w:r>
    </w:p>
    <w:p w14:paraId="1CF37686" w14:textId="486A9AB7" w:rsidR="0097338A" w:rsidRPr="001A1691" w:rsidRDefault="0097338A" w:rsidP="001A1691">
      <w:pPr>
        <w:suppressAutoHyphens/>
        <w:spacing w:line="360" w:lineRule="auto"/>
        <w:rPr>
          <w:rFonts w:ascii="Tahoma" w:eastAsia="Cumberland AMT" w:hAnsi="Tahoma" w:cs="Tahoma"/>
          <w:b/>
        </w:rPr>
      </w:pPr>
    </w:p>
    <w:p w14:paraId="4316BD29" w14:textId="77777777" w:rsidR="0097338A" w:rsidRPr="001A1691" w:rsidRDefault="0097338A" w:rsidP="001A1691">
      <w:pPr>
        <w:spacing w:line="360" w:lineRule="auto"/>
        <w:rPr>
          <w:rFonts w:ascii="Tahoma" w:hAnsi="Tahoma" w:cs="Tahoma"/>
        </w:rPr>
      </w:pPr>
    </w:p>
    <w:tbl>
      <w:tblPr>
        <w:tblW w:w="462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30"/>
      </w:tblGrid>
      <w:tr w:rsidR="0097338A" w:rsidRPr="001A1691" w14:paraId="6CB43191" w14:textId="77777777" w:rsidTr="00F261BC">
        <w:trPr>
          <w:trHeight w:val="25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</w:tcPr>
          <w:p w14:paraId="5A639680" w14:textId="21BE7524" w:rsidR="0097338A" w:rsidRPr="001A1691" w:rsidRDefault="00BE16F1" w:rsidP="001A1691">
            <w:pPr>
              <w:widowControl w:val="0"/>
              <w:tabs>
                <w:tab w:val="left" w:pos="426"/>
              </w:tabs>
              <w:suppressAutoHyphens/>
              <w:autoSpaceDE w:val="0"/>
              <w:autoSpaceDN w:val="0"/>
              <w:spacing w:before="1" w:line="360" w:lineRule="auto"/>
              <w:ind w:right="-46"/>
              <w:rPr>
                <w:rFonts w:ascii="Tahoma" w:hAnsi="Tahoma" w:cs="Tahoma"/>
                <w:b/>
                <w:lang w:eastAsia="ar-SA"/>
              </w:rPr>
            </w:pPr>
            <w:r w:rsidRPr="001A1691">
              <w:rPr>
                <w:rFonts w:ascii="Tahoma" w:eastAsia="Calibri" w:hAnsi="Tahoma" w:cs="Tahoma"/>
                <w:b/>
                <w:bCs/>
              </w:rPr>
              <w:t>Termocykler (oparty na elementach Peltiera) umożliwiający wizualizację reakcji RT-PCR w czasie rzeczywistym</w:t>
            </w:r>
            <w:r w:rsidR="0097338A" w:rsidRPr="001A1691">
              <w:rPr>
                <w:rFonts w:ascii="Tahoma" w:eastAsia="Calibri" w:hAnsi="Tahoma" w:cs="Tahoma"/>
                <w:b/>
                <w:bCs/>
              </w:rPr>
              <w:t xml:space="preserve"> (1 kpl.) </w:t>
            </w:r>
          </w:p>
          <w:p w14:paraId="399186B7" w14:textId="77777777" w:rsidR="0097338A" w:rsidRPr="001A1691" w:rsidRDefault="0097338A" w:rsidP="001A1691">
            <w:pPr>
              <w:widowControl w:val="0"/>
              <w:tabs>
                <w:tab w:val="left" w:pos="9072"/>
                <w:tab w:val="left" w:pos="9356"/>
              </w:tabs>
              <w:spacing w:after="200" w:line="360" w:lineRule="auto"/>
              <w:rPr>
                <w:rFonts w:ascii="Tahoma" w:eastAsia="Calibri" w:hAnsi="Tahoma" w:cs="Tahoma"/>
                <w:lang w:eastAsia="en-US"/>
              </w:rPr>
            </w:pPr>
            <w:r w:rsidRPr="001A1691">
              <w:rPr>
                <w:rFonts w:ascii="Tahoma" w:eastAsia="Calibri" w:hAnsi="Tahoma" w:cs="Tahoma"/>
                <w:lang w:eastAsia="en-US"/>
              </w:rPr>
              <w:t>Producent/Firma*..............................................................................................</w:t>
            </w:r>
          </w:p>
          <w:p w14:paraId="1EE9E8A2" w14:textId="77777777" w:rsidR="0097338A" w:rsidRPr="001A1691" w:rsidRDefault="0097338A" w:rsidP="001A1691">
            <w:pPr>
              <w:widowControl w:val="0"/>
              <w:tabs>
                <w:tab w:val="left" w:pos="9072"/>
                <w:tab w:val="left" w:pos="9356"/>
              </w:tabs>
              <w:spacing w:after="200" w:line="360" w:lineRule="auto"/>
              <w:rPr>
                <w:rFonts w:ascii="Tahoma" w:eastAsia="Calibri" w:hAnsi="Tahoma" w:cs="Tahoma"/>
                <w:lang w:eastAsia="en-US"/>
              </w:rPr>
            </w:pPr>
            <w:r w:rsidRPr="001A1691">
              <w:rPr>
                <w:rFonts w:ascii="Tahoma" w:eastAsia="Calibri" w:hAnsi="Tahoma" w:cs="Tahoma"/>
                <w:lang w:eastAsia="en-US"/>
              </w:rPr>
              <w:t>Urządzenie model/typ*.....................................................................................</w:t>
            </w:r>
          </w:p>
          <w:p w14:paraId="0E8E53A4" w14:textId="77777777" w:rsidR="0097338A" w:rsidRPr="001A1691" w:rsidRDefault="0097338A" w:rsidP="001A1691">
            <w:pPr>
              <w:widowControl w:val="0"/>
              <w:tabs>
                <w:tab w:val="left" w:pos="9072"/>
                <w:tab w:val="left" w:pos="9356"/>
              </w:tabs>
              <w:spacing w:after="200" w:line="360" w:lineRule="auto"/>
              <w:rPr>
                <w:rFonts w:ascii="Tahoma" w:eastAsia="Calibri" w:hAnsi="Tahoma" w:cs="Tahoma"/>
                <w:lang w:eastAsia="en-US"/>
              </w:rPr>
            </w:pPr>
            <w:r w:rsidRPr="001A1691">
              <w:rPr>
                <w:rFonts w:ascii="Tahoma" w:eastAsia="Calibri" w:hAnsi="Tahoma" w:cs="Tahoma"/>
                <w:lang w:eastAsia="en-US"/>
              </w:rPr>
              <w:t>kraj pochodzenia* .............................................................................................</w:t>
            </w:r>
          </w:p>
          <w:p w14:paraId="052B6451" w14:textId="367EC8F9" w:rsidR="0097338A" w:rsidRPr="001A1691" w:rsidRDefault="0097338A" w:rsidP="001A1691">
            <w:pPr>
              <w:widowControl w:val="0"/>
              <w:tabs>
                <w:tab w:val="left" w:pos="9072"/>
                <w:tab w:val="left" w:pos="9356"/>
              </w:tabs>
              <w:spacing w:after="200" w:line="360" w:lineRule="auto"/>
              <w:rPr>
                <w:rFonts w:ascii="Tahoma" w:eastAsia="Calibri" w:hAnsi="Tahoma" w:cs="Tahoma"/>
                <w:lang w:eastAsia="en-US"/>
              </w:rPr>
            </w:pPr>
            <w:r w:rsidRPr="001A1691">
              <w:rPr>
                <w:rFonts w:ascii="Tahoma" w:eastAsia="Calibri" w:hAnsi="Tahoma" w:cs="Tahoma"/>
                <w:lang w:eastAsia="en-US"/>
              </w:rPr>
              <w:t>rok produkcji min. 2025: ......................................... o następujących parametrach:</w:t>
            </w:r>
          </w:p>
        </w:tc>
      </w:tr>
      <w:tr w:rsidR="0097338A" w:rsidRPr="001A1691" w14:paraId="7BFED2FB" w14:textId="77777777" w:rsidTr="00F261BC">
        <w:trPr>
          <w:trHeight w:val="42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A9798" w14:textId="56AB944C" w:rsidR="0097338A" w:rsidRPr="001A1691" w:rsidRDefault="00BE16F1" w:rsidP="001A1691">
            <w:pPr>
              <w:widowControl w:val="0"/>
              <w:spacing w:line="360" w:lineRule="auto"/>
              <w:rPr>
                <w:rFonts w:ascii="Tahoma" w:eastAsia="Calibri" w:hAnsi="Tahoma" w:cs="Tahoma"/>
                <w:b/>
                <w:bCs/>
                <w:u w:val="single"/>
              </w:rPr>
            </w:pPr>
            <w:r w:rsidRPr="001A1691">
              <w:rPr>
                <w:rFonts w:ascii="Tahoma" w:eastAsia="Calibri" w:hAnsi="Tahoma" w:cs="Tahoma"/>
                <w:b/>
                <w:bCs/>
                <w:u w:val="single"/>
              </w:rPr>
              <w:lastRenderedPageBreak/>
              <w:t xml:space="preserve">Termocykler (oparty na elementach Peltiera) umożliwiający wizualizację reakcji RT-PCR w czasie rzeczywistym musi posiadać co najmniej następujące funkcjonalności: </w:t>
            </w:r>
          </w:p>
          <w:p w14:paraId="0F650413" w14:textId="77777777" w:rsidR="00BE16F1" w:rsidRPr="001A1691" w:rsidRDefault="00BE16F1" w:rsidP="001A1691">
            <w:pPr>
              <w:widowControl w:val="0"/>
              <w:spacing w:line="360" w:lineRule="auto"/>
              <w:rPr>
                <w:rFonts w:ascii="Tahoma" w:eastAsia="Calibri" w:hAnsi="Tahoma" w:cs="Tahoma"/>
                <w:b/>
                <w:bCs/>
                <w:u w:val="single"/>
              </w:rPr>
            </w:pPr>
          </w:p>
          <w:p w14:paraId="65A21157" w14:textId="47C5C375" w:rsidR="00BE16F1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Aparat musi być wyposażony w blok 96 dołkowym do pracy z płytkami i probówkami o objętości 0,1 ml</w:t>
            </w:r>
          </w:p>
          <w:p w14:paraId="215E8208" w14:textId="34BD8FAD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Aparat musi być wyposażony w dodatkowy blok  96 dołkowy do pracy z płytkami o objętości 0,2 ml</w:t>
            </w:r>
          </w:p>
          <w:p w14:paraId="673DBAF5" w14:textId="500CE187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Aparat musi być wyposażony w specjalny blok do przeprowadzania reakcji w plastikowych kartach z fabrycznie naniesionymi zliofilizowanymi primerami oraz sondą do badania ekspresji 384 genów w tym samym czasie (wykorzystując płytki TLDA). Karta musi składać się z min. 8 portów do zbadania ekspresji genów w min. 8 próbkach jednocześnie. Objętość każdego naczynia reakcyjnego w karcie max. 2 μl.</w:t>
            </w:r>
          </w:p>
          <w:p w14:paraId="0692BD27" w14:textId="2C66F2DF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Bloki 96-dołkowe muszą być złożone z co najmniej 6 niezależnych stref grzejnych a w bloku do przeprowadzania reakcji w plastikowych kartach wymagana jest co najmniej jedna strefa grzejna</w:t>
            </w:r>
          </w:p>
          <w:p w14:paraId="04801441" w14:textId="6CB2EDEF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Zbieranie danych musi być oparte o technologię typu CMOS</w:t>
            </w:r>
          </w:p>
          <w:p w14:paraId="275ED4C0" w14:textId="40943058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Czułość detekcji co najmniej od 1 kopii (danego genu)</w:t>
            </w:r>
          </w:p>
          <w:p w14:paraId="100F656E" w14:textId="48447FB7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 „Rozdzielczość” detekcji: aparat/termocykler musi odróżniać co najmniej 1,5-krotną różnicę w stężeniu pomiędzy próbami</w:t>
            </w:r>
          </w:p>
          <w:p w14:paraId="06E45E3C" w14:textId="52D22926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 Zakres dynamiczny co najmniej 10 logarytmowy, umożliwiający precyzyjną detekcję materiału genetycznego w zakresie od 1 do 10</w:t>
            </w:r>
            <w:r w:rsidRPr="001A1691">
              <w:rPr>
                <w:rFonts w:ascii="Tahoma" w:eastAsia="Calibri" w:hAnsi="Tahoma" w:cs="Tahoma"/>
                <w:vertAlign w:val="superscript"/>
              </w:rPr>
              <w:t>10</w:t>
            </w:r>
            <w:r w:rsidRPr="001A1691">
              <w:rPr>
                <w:rFonts w:ascii="Tahoma" w:eastAsia="Calibri" w:hAnsi="Tahoma" w:cs="Tahoma"/>
              </w:rPr>
              <w:t xml:space="preserve"> kopii cząstek DNA/RNA w próbce</w:t>
            </w:r>
          </w:p>
          <w:p w14:paraId="63817CDB" w14:textId="37A5CD28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Źródło wzbudzania fluorescencji musi być oparte o białą diodę typu LED</w:t>
            </w:r>
          </w:p>
          <w:p w14:paraId="6EBC587C" w14:textId="3443B379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 xml:space="preserve">- Termocykler musi być wyposażony w minimum 5 kanałów wzbudzających/emisyjnych (zakres długość fali dla </w:t>
            </w:r>
            <w:r w:rsidRPr="001A1691">
              <w:rPr>
                <w:rFonts w:ascii="Tahoma" w:eastAsia="Calibri" w:hAnsi="Tahoma" w:cs="Tahoma"/>
              </w:rPr>
              <w:lastRenderedPageBreak/>
              <w:t>wzbudzenia 450–680 nm (+</w:t>
            </w:r>
            <w:r w:rsidR="00C96CC4" w:rsidRPr="001A1691">
              <w:rPr>
                <w:rFonts w:ascii="Tahoma" w:eastAsia="Calibri" w:hAnsi="Tahoma" w:cs="Tahoma"/>
              </w:rPr>
              <w:t>/</w:t>
            </w:r>
            <w:r w:rsidRPr="001A1691">
              <w:rPr>
                <w:rFonts w:ascii="Tahoma" w:eastAsia="Calibri" w:hAnsi="Tahoma" w:cs="Tahoma"/>
              </w:rPr>
              <w:t>-5nm)/ zakres długość fali dla emisji 500–730 nm(+</w:t>
            </w:r>
            <w:r w:rsidR="00C96CC4" w:rsidRPr="001A1691">
              <w:rPr>
                <w:rFonts w:ascii="Tahoma" w:eastAsia="Calibri" w:hAnsi="Tahoma" w:cs="Tahoma"/>
              </w:rPr>
              <w:t>/</w:t>
            </w:r>
            <w:r w:rsidRPr="001A1691">
              <w:rPr>
                <w:rFonts w:ascii="Tahoma" w:eastAsia="Calibri" w:hAnsi="Tahoma" w:cs="Tahoma"/>
              </w:rPr>
              <w:t>-5nm)</w:t>
            </w:r>
          </w:p>
          <w:p w14:paraId="30106CB1" w14:textId="3DCDD788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Aparat musi posiadać filtry umożliwiające detekcję minimum następujących barwników powszechnie stosowanych w laboratoriach : FAM™, SYBR™ Green, VIC™, JOE™, HEX™, TET™, ABY™, NED™, TAMRA™, Cy®3, JUN™, ROX™, Texas Red™, Mustang Purple™, Cy®5, LIZ™, Cy®5.5. Musi istnieć możliwość jednoczesnego „zbierania” fluorescencji z Sybr Green oraz sond z próbek na jednej płytce</w:t>
            </w:r>
          </w:p>
          <w:p w14:paraId="1CC6712A" w14:textId="78DA8CD0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Maksymalna szybkość grzania bloku 96 dołkowego do pracy z płytkami o objętości 0,2 ml co najmniej 6.5 °C/sek</w:t>
            </w:r>
          </w:p>
          <w:p w14:paraId="73591074" w14:textId="49581517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Maksymalna szybkość grzania bloku 96 dołkowego do pracy z płytkami o objętości 0,1 ml co najmniej 9 °C/sek</w:t>
            </w:r>
          </w:p>
          <w:p w14:paraId="6D3D347F" w14:textId="21950441" w:rsidR="00BE16F1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Zakres temperatury w bloku 96 dołkowym co najmniej od 4°C do 99°C.</w:t>
            </w:r>
          </w:p>
          <w:p w14:paraId="6CD0E71C" w14:textId="4763645C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Jednorodność zadanej temperatury w bloku 96 dołkowym co najmniej 0,5°C</w:t>
            </w:r>
          </w:p>
          <w:p w14:paraId="4B0E0592" w14:textId="7F32938D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 xml:space="preserve">-  Musi być możliwość zastosowania barwnika ROX™  </w:t>
            </w:r>
          </w:p>
          <w:p w14:paraId="5253898D" w14:textId="2DF59E63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Aparat musi być wyposażony w port USB umożliwiający import lub export danych z aparatu do komputera lub na nośniki danych typu Flash</w:t>
            </w:r>
          </w:p>
          <w:p w14:paraId="45C0C830" w14:textId="008E373A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Musi istnieć możliwość rozbudowy oferowanego aparatu w przyszłości o blok 384 dołkowy do pracy z płytkami o objętości 0,02 ml</w:t>
            </w:r>
          </w:p>
          <w:p w14:paraId="6AE949BD" w14:textId="276363A8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Funkcja aparatu umożliwiająca logowanie się do spersonalizowanych ustawień Użytkowników poprzez bezdotykowe logowanie – np. uwierzytelnianie twarzy</w:t>
            </w:r>
          </w:p>
          <w:p w14:paraId="2AF2D9FB" w14:textId="41DD1C82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 xml:space="preserve">- Urządzenie musi mieć możliwość sterowania nim za pomocą wbudowanego panelu dotykowego (minimum 12-cali) celem szybkiego wybrania protokołu do uruchomienia aparatu i rozpoczęcia reakcji bez konieczności sterowania z komputera o którym mowa </w:t>
            </w:r>
            <w:r w:rsidR="00572483" w:rsidRPr="001A1691">
              <w:rPr>
                <w:rFonts w:ascii="Tahoma" w:eastAsia="Calibri" w:hAnsi="Tahoma" w:cs="Tahoma"/>
              </w:rPr>
              <w:t xml:space="preserve">poniżej. </w:t>
            </w:r>
          </w:p>
          <w:p w14:paraId="5A9B7946" w14:textId="785D38FE" w:rsidR="00572483" w:rsidRPr="001A1691" w:rsidRDefault="00572483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lastRenderedPageBreak/>
              <w:t>- Urządzenie musi posiadać dedykowaną jednostkę sterującą zgodną z wymogami producenta, z zainstalowanym systemem operacyjnym, umożliwiającą niezakłóconą obsługę aparatu i obróbkę danych pomiarowych</w:t>
            </w:r>
          </w:p>
          <w:p w14:paraId="32EF9287" w14:textId="5D2DB5E6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 xml:space="preserve">- </w:t>
            </w:r>
            <w:r w:rsidR="00572483" w:rsidRPr="001A1691">
              <w:rPr>
                <w:rFonts w:ascii="Tahoma" w:eastAsia="Calibri" w:hAnsi="Tahoma" w:cs="Tahoma"/>
              </w:rPr>
              <w:t>Urządzenie musi być wyposażone w wbudowaną wewnętrzna pamięć co najmniej 10 GB umożliwiającą zapamiętanie/zapisanie co najmniej 400 eksperymentów.</w:t>
            </w:r>
          </w:p>
          <w:p w14:paraId="63462E7A" w14:textId="7B56861C" w:rsidR="00572483" w:rsidRPr="001A1691" w:rsidRDefault="00572483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 xml:space="preserve">- Minimalnie wymagane funkcje oprogramowania: </w:t>
            </w:r>
          </w:p>
          <w:p w14:paraId="1671F9F4" w14:textId="77777777" w:rsidR="00572483" w:rsidRPr="001A1691" w:rsidRDefault="00572483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a) zbieranie i przechowywanie danych, automatyczne wykreślanie krzywej dysocjacyjnej, automatyczne wykreślanie krzywej standardowej, oznaczanie ilościowe kwasów nukleinowych, oznaczanie jakościowe (+/-), analiza polimorfizmu pojedynczego nukleotydu (dyskryminacja alleli), zastosowanie kontroli wewnętrznej (IPC).</w:t>
            </w:r>
          </w:p>
          <w:p w14:paraId="2D8ED43E" w14:textId="77777777" w:rsidR="00572483" w:rsidRPr="001A1691" w:rsidRDefault="00572483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b) muszą być dostępne bezpłatne programy do analizy ekspresji genów z możliwością pobrania ich ze strony internetowej,</w:t>
            </w:r>
          </w:p>
          <w:p w14:paraId="5B7116C1" w14:textId="77777777" w:rsidR="00572483" w:rsidRPr="001A1691" w:rsidRDefault="00572483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c) oprogramowanie do analizy ekspresji genów musi być kompatybilne zarówno z rozwiązaniami MAC oraz PC,</w:t>
            </w:r>
          </w:p>
          <w:p w14:paraId="1C82C7DA" w14:textId="77777777" w:rsidR="00572483" w:rsidRPr="001A1691" w:rsidRDefault="00572483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d) oprogramowanie musi umożliwiać szybkie zliczenie objętości potrzebnych odczynników do złożenia reakcji na bloku, sygnalizowanie flagami próbek z błędami w oznaczeniu poziomu zebranej fluorescencji,</w:t>
            </w:r>
          </w:p>
          <w:p w14:paraId="6039B296" w14:textId="77777777" w:rsidR="00572483" w:rsidRPr="001A1691" w:rsidRDefault="00572483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e) oprogramowanie musi kalkulować automatycznie, w trakcie każdego cyklu PCR, udział poszczególnych barwników wchodzących w skład mieszaniny reakcyjnej,</w:t>
            </w:r>
          </w:p>
          <w:p w14:paraId="3DA82EF1" w14:textId="20850DC5" w:rsidR="00572483" w:rsidRPr="001A1691" w:rsidRDefault="00572483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f) oprogramowanie musi umożliwiać automatyczne obliczanie relatywnej ekspresji genów metodą ∆∆Ct z przeprowadzonych eksperymentów dla nieograniczonej liczby próbek w tym samym czasie.</w:t>
            </w:r>
          </w:p>
          <w:p w14:paraId="24BD7FA8" w14:textId="6B9AABD6" w:rsidR="00E818EB" w:rsidRPr="001A1691" w:rsidRDefault="00572483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>- Waga aparatu nie może przekraczać 40 kg co pozwoli na jego relokację bez udziału serwisu</w:t>
            </w:r>
          </w:p>
          <w:p w14:paraId="19C22BFA" w14:textId="77777777" w:rsidR="00E818EB" w:rsidRPr="001A1691" w:rsidRDefault="00E818EB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</w:p>
          <w:p w14:paraId="1794A212" w14:textId="44CB62F2" w:rsidR="0097338A" w:rsidRPr="001A1691" w:rsidRDefault="0097338A" w:rsidP="001A1691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1A1691">
              <w:rPr>
                <w:rFonts w:ascii="Tahoma" w:eastAsia="Calibri" w:hAnsi="Tahoma" w:cs="Tahoma"/>
              </w:rPr>
              <w:lastRenderedPageBreak/>
              <w:t xml:space="preserve">- </w:t>
            </w:r>
            <w:r w:rsidRPr="001A1691">
              <w:rPr>
                <w:rFonts w:ascii="Tahoma" w:hAnsi="Tahoma" w:cs="Tahoma"/>
                <w:bCs/>
              </w:rPr>
              <w:t>Zaoferowan</w:t>
            </w:r>
            <w:r w:rsidR="005D6600" w:rsidRPr="001A1691">
              <w:rPr>
                <w:rFonts w:ascii="Tahoma" w:hAnsi="Tahoma" w:cs="Tahoma"/>
                <w:bCs/>
              </w:rPr>
              <w:t xml:space="preserve">e urządzenie </w:t>
            </w:r>
            <w:r w:rsidRPr="001A1691">
              <w:rPr>
                <w:rFonts w:ascii="Tahoma" w:hAnsi="Tahoma" w:cs="Tahoma"/>
                <w:bCs/>
              </w:rPr>
              <w:t>musi być zgodn</w:t>
            </w:r>
            <w:r w:rsidR="00563FAB" w:rsidRPr="001A1691">
              <w:rPr>
                <w:rFonts w:ascii="Tahoma" w:hAnsi="Tahoma" w:cs="Tahoma"/>
                <w:bCs/>
              </w:rPr>
              <w:t>e</w:t>
            </w:r>
            <w:r w:rsidRPr="001A1691">
              <w:rPr>
                <w:rFonts w:ascii="Tahoma" w:hAnsi="Tahoma" w:cs="Tahoma"/>
                <w:bCs/>
              </w:rPr>
              <w:t xml:space="preserve"> z dyrektywą 2014/30/EU</w:t>
            </w:r>
            <w:r w:rsidR="00C96CC4" w:rsidRPr="001A1691">
              <w:rPr>
                <w:rFonts w:ascii="Tahoma" w:hAnsi="Tahoma" w:cs="Tahoma"/>
                <w:bCs/>
              </w:rPr>
              <w:t xml:space="preserve"> </w:t>
            </w:r>
            <w:r w:rsidR="009779B4" w:rsidRPr="001A1691">
              <w:rPr>
                <w:rFonts w:ascii="Tahoma" w:hAnsi="Tahoma" w:cs="Tahoma"/>
                <w:bCs/>
              </w:rPr>
              <w:t>lub równoważną w zakresie kompatybilności elektromagnetycznej na terenie Unii Europejskiej</w:t>
            </w:r>
          </w:p>
          <w:p w14:paraId="3E617DC5" w14:textId="7C7D0562" w:rsidR="0097338A" w:rsidRPr="001A1691" w:rsidRDefault="0097338A" w:rsidP="001A1691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1A1691">
              <w:rPr>
                <w:rFonts w:ascii="Tahoma" w:hAnsi="Tahoma" w:cs="Tahoma"/>
                <w:bCs/>
              </w:rPr>
              <w:t xml:space="preserve">- </w:t>
            </w:r>
            <w:r w:rsidR="005D6600" w:rsidRPr="001A1691">
              <w:rPr>
                <w:rFonts w:ascii="Tahoma" w:hAnsi="Tahoma" w:cs="Tahoma"/>
                <w:bCs/>
              </w:rPr>
              <w:t>Zaoferowane urządzenie nie może zawierać substancji objętych ograniczeniem wymienionych w załączniku II do dyrektywy Parlamentu Europejskiego i Rady 2011/65/UE (309), z wyjątkiem sytuacji, w których wartości koncentracji wagowo w materiałach jednorodnych nie przekraczają maksymalnych wartości wymienionych w tym załączniku.</w:t>
            </w:r>
          </w:p>
          <w:p w14:paraId="3C78B030" w14:textId="77777777" w:rsidR="005D6600" w:rsidRPr="001A1691" w:rsidRDefault="005D6600" w:rsidP="001A1691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1A1691">
              <w:rPr>
                <w:rFonts w:ascii="Tahoma" w:hAnsi="Tahoma" w:cs="Tahoma"/>
                <w:bCs/>
              </w:rPr>
              <w:t>- Wykonawca zobowiązuje się do zutylizowania zgodnie z obowiązującymi normami niemożliwych do ponownego wykorzystania elementów opakowań dostarczanego sprzętu oraz wykorzystania opakowań wielokrotnego użytku (np. palet) w ramach kolejnych realizowanych przez Wykonawcę dostaw.</w:t>
            </w:r>
          </w:p>
          <w:p w14:paraId="74C99135" w14:textId="2E224384" w:rsidR="005D6600" w:rsidRPr="001A1691" w:rsidRDefault="005D6600" w:rsidP="001A1691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1A1691">
              <w:rPr>
                <w:rFonts w:ascii="Tahoma" w:hAnsi="Tahoma" w:cs="Tahoma"/>
                <w:bCs/>
              </w:rPr>
              <w:t>- Urządzenie musi posiadać wymagane aktualnymi regulacjami certyfikaty oraz odpowiednie klasy energetyczne poświadczające jego energooszczędność</w:t>
            </w:r>
            <w:r w:rsidR="00C96CC4" w:rsidRPr="001A1691">
              <w:rPr>
                <w:rFonts w:ascii="Tahoma" w:hAnsi="Tahoma" w:cs="Tahoma"/>
                <w:bCs/>
              </w:rPr>
              <w:t xml:space="preserve"> / jeżeli dotyczy</w:t>
            </w:r>
          </w:p>
          <w:p w14:paraId="7384E4EF" w14:textId="4829C4B5" w:rsidR="00C96CC4" w:rsidRPr="001A1691" w:rsidRDefault="00C96CC4" w:rsidP="001A1691">
            <w:pPr>
              <w:widowControl w:val="0"/>
              <w:spacing w:line="360" w:lineRule="auto"/>
              <w:rPr>
                <w:rFonts w:ascii="Tahoma" w:hAnsi="Tahoma" w:cs="Tahoma"/>
              </w:rPr>
            </w:pPr>
            <w:r w:rsidRPr="001A1691">
              <w:rPr>
                <w:rFonts w:ascii="Tahoma" w:hAnsi="Tahoma" w:cs="Tahoma"/>
                <w:bCs/>
              </w:rPr>
              <w:t xml:space="preserve">- </w:t>
            </w:r>
            <w:r w:rsidR="009779B4" w:rsidRPr="001A1691">
              <w:rPr>
                <w:rFonts w:ascii="Tahoma" w:hAnsi="Tahoma" w:cs="Tahoma"/>
                <w:bCs/>
              </w:rPr>
              <w:t>O</w:t>
            </w:r>
            <w:r w:rsidRPr="001A1691">
              <w:rPr>
                <w:rFonts w:ascii="Tahoma" w:hAnsi="Tahoma" w:cs="Tahoma"/>
                <w:bCs/>
              </w:rPr>
              <w:t xml:space="preserve">ferowane urządzenie </w:t>
            </w:r>
            <w:r w:rsidRPr="001A1691">
              <w:rPr>
                <w:rFonts w:ascii="Tahoma" w:hAnsi="Tahoma" w:cs="Tahoma"/>
              </w:rPr>
              <w:t>musi charakteryzować się możliwie niskim zużyciem energii elektrycznej, przy zachowaniu pełnej funkcjonalności i wydajności,</w:t>
            </w:r>
          </w:p>
          <w:p w14:paraId="79E8C19B" w14:textId="3CB4AE3B" w:rsidR="00C96CC4" w:rsidRPr="001A1691" w:rsidRDefault="00C96CC4" w:rsidP="001A1691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1A1691">
              <w:rPr>
                <w:rFonts w:ascii="Tahoma" w:hAnsi="Tahoma" w:cs="Tahoma"/>
                <w:bCs/>
              </w:rPr>
              <w:t xml:space="preserve">- </w:t>
            </w:r>
            <w:r w:rsidRPr="001A1691">
              <w:rPr>
                <w:rFonts w:ascii="Tahoma" w:hAnsi="Tahoma" w:cs="Tahoma"/>
              </w:rPr>
              <w:t>Oferent zobowiązany jest do przedłożenia dokumentu potwierdzającego zużycie energii elektrycznej (np. specyfikacja techniczna producenta, karta katalogowa lub deklaracja zgodności)</w:t>
            </w:r>
          </w:p>
          <w:p w14:paraId="70C5F171" w14:textId="53535805" w:rsidR="00572483" w:rsidRPr="001A1691" w:rsidRDefault="00572483" w:rsidP="001A1691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1A1691">
              <w:rPr>
                <w:rFonts w:ascii="Tahoma" w:hAnsi="Tahoma" w:cs="Tahoma"/>
                <w:bCs/>
              </w:rPr>
              <w:t>- Zaoferowan</w:t>
            </w:r>
            <w:r w:rsidR="009779B4" w:rsidRPr="001A1691">
              <w:rPr>
                <w:rFonts w:ascii="Tahoma" w:hAnsi="Tahoma" w:cs="Tahoma"/>
                <w:bCs/>
              </w:rPr>
              <w:t xml:space="preserve">a </w:t>
            </w:r>
            <w:r w:rsidR="00C96CC4" w:rsidRPr="001A1691">
              <w:rPr>
                <w:rFonts w:ascii="Tahoma" w:hAnsi="Tahoma" w:cs="Tahoma"/>
                <w:bCs/>
              </w:rPr>
              <w:t>jednostka sterująca</w:t>
            </w:r>
            <w:r w:rsidRPr="001A1691">
              <w:rPr>
                <w:rFonts w:ascii="Tahoma" w:hAnsi="Tahoma" w:cs="Tahoma"/>
                <w:bCs/>
              </w:rPr>
              <w:t xml:space="preserve"> musi mieć możliwość, poprzez zastosowanie odpowiednich ustawień systemu operacyjnego, dostosowania poziomu zużycia energii powiązanego z wydajnością pracy</w:t>
            </w:r>
          </w:p>
          <w:p w14:paraId="0E88A960" w14:textId="292EADFC" w:rsidR="00A44092" w:rsidRPr="001A1691" w:rsidRDefault="00A44092" w:rsidP="001A1691">
            <w:pPr>
              <w:widowControl w:val="0"/>
              <w:spacing w:line="360" w:lineRule="auto"/>
              <w:rPr>
                <w:rFonts w:ascii="Tahoma" w:hAnsi="Tahoma" w:cs="Tahoma"/>
                <w:bCs/>
              </w:rPr>
            </w:pPr>
            <w:r w:rsidRPr="001A1691">
              <w:rPr>
                <w:rFonts w:ascii="Tahoma" w:hAnsi="Tahoma" w:cs="Tahoma"/>
                <w:bCs/>
              </w:rPr>
              <w:t>- Zaoferowan</w:t>
            </w:r>
            <w:r w:rsidR="009779B4" w:rsidRPr="001A1691">
              <w:rPr>
                <w:rFonts w:ascii="Tahoma" w:hAnsi="Tahoma" w:cs="Tahoma"/>
                <w:bCs/>
              </w:rPr>
              <w:t>a jednostka sterująca</w:t>
            </w:r>
            <w:r w:rsidRPr="001A1691">
              <w:rPr>
                <w:rFonts w:ascii="Tahoma" w:hAnsi="Tahoma" w:cs="Tahoma"/>
                <w:bCs/>
              </w:rPr>
              <w:t xml:space="preserve"> musi być zgodny z dyrektywą 2014/30/EU</w:t>
            </w:r>
            <w:r w:rsidR="00C96CC4" w:rsidRPr="001A1691">
              <w:rPr>
                <w:rFonts w:ascii="Tahoma" w:hAnsi="Tahoma" w:cs="Tahoma"/>
                <w:bCs/>
              </w:rPr>
              <w:t xml:space="preserve"> </w:t>
            </w:r>
            <w:r w:rsidR="009779B4" w:rsidRPr="001A1691">
              <w:rPr>
                <w:rFonts w:ascii="Tahoma" w:hAnsi="Tahoma" w:cs="Tahoma"/>
                <w:bCs/>
              </w:rPr>
              <w:t>lub równoważną w zakresie kompatybilności elektromagnetycznej na terenie Unii Europejskiej</w:t>
            </w:r>
          </w:p>
          <w:p w14:paraId="4867E849" w14:textId="7B61A4D5" w:rsidR="00A44092" w:rsidRPr="001A1691" w:rsidRDefault="00A44092" w:rsidP="001A1691">
            <w:pPr>
              <w:widowControl w:val="0"/>
              <w:spacing w:line="360" w:lineRule="auto"/>
              <w:rPr>
                <w:rFonts w:ascii="Tahoma" w:eastAsia="Calibri" w:hAnsi="Tahoma" w:cs="Tahoma"/>
              </w:rPr>
            </w:pPr>
            <w:r w:rsidRPr="001A1691">
              <w:rPr>
                <w:rFonts w:ascii="Tahoma" w:eastAsia="Calibri" w:hAnsi="Tahoma" w:cs="Tahoma"/>
              </w:rPr>
              <w:t xml:space="preserve">- Zaoferowany </w:t>
            </w:r>
            <w:r w:rsidR="002C3448" w:rsidRPr="001A1691">
              <w:rPr>
                <w:rFonts w:ascii="Tahoma" w:eastAsia="Calibri" w:hAnsi="Tahoma" w:cs="Tahoma"/>
              </w:rPr>
              <w:t xml:space="preserve">zestaw </w:t>
            </w:r>
            <w:r w:rsidR="00964BBA" w:rsidRPr="001A1691">
              <w:rPr>
                <w:rFonts w:ascii="Tahoma" w:eastAsia="Calibri" w:hAnsi="Tahoma" w:cs="Tahoma"/>
              </w:rPr>
              <w:t>komputerowy</w:t>
            </w:r>
            <w:r w:rsidRPr="001A1691">
              <w:rPr>
                <w:rFonts w:ascii="Tahoma" w:eastAsia="Calibri" w:hAnsi="Tahoma" w:cs="Tahoma"/>
              </w:rPr>
              <w:t xml:space="preserve"> musi spełniać wymogi normy Energy Star 6.0</w:t>
            </w:r>
            <w:r w:rsidR="002C3448" w:rsidRPr="001A1691">
              <w:rPr>
                <w:rFonts w:ascii="Tahoma" w:eastAsia="Calibri" w:hAnsi="Tahoma" w:cs="Tahoma"/>
              </w:rPr>
              <w:t xml:space="preserve"> / jeżeli dotyczy </w:t>
            </w:r>
          </w:p>
          <w:p w14:paraId="4B7FAC39" w14:textId="7DEC7844" w:rsidR="00A44092" w:rsidRPr="001A1691" w:rsidRDefault="00A44092" w:rsidP="001A1691">
            <w:pPr>
              <w:widowControl w:val="0"/>
              <w:spacing w:line="360" w:lineRule="auto"/>
              <w:rPr>
                <w:rFonts w:ascii="Tahoma" w:eastAsia="Calibri" w:hAnsi="Tahoma" w:cs="Tahoma"/>
                <w:color w:val="FF0000"/>
              </w:rPr>
            </w:pPr>
            <w:r w:rsidRPr="001A1691">
              <w:rPr>
                <w:rFonts w:ascii="Tahoma" w:eastAsia="Calibri" w:hAnsi="Tahoma" w:cs="Tahoma"/>
              </w:rPr>
              <w:lastRenderedPageBreak/>
              <w:t>-</w:t>
            </w:r>
            <w:r w:rsidRPr="001A1691">
              <w:rPr>
                <w:rFonts w:ascii="Tahoma" w:hAnsi="Tahoma" w:cs="Tahoma"/>
              </w:rPr>
              <w:t xml:space="preserve"> Za</w:t>
            </w:r>
            <w:r w:rsidRPr="001A1691">
              <w:rPr>
                <w:rFonts w:ascii="Tahoma" w:eastAsia="Calibri" w:hAnsi="Tahoma" w:cs="Tahoma"/>
              </w:rPr>
              <w:t>oferowany zestaw komputerowy musi posiadać certyfikat EPEAT co najmniej Silver</w:t>
            </w:r>
            <w:r w:rsidR="00EC4695" w:rsidRPr="001A1691">
              <w:rPr>
                <w:rFonts w:ascii="Tahoma" w:eastAsia="Calibri" w:hAnsi="Tahoma" w:cs="Tahoma"/>
              </w:rPr>
              <w:t xml:space="preserve"> / jeżeli dotyczy </w:t>
            </w:r>
          </w:p>
        </w:tc>
      </w:tr>
    </w:tbl>
    <w:p w14:paraId="50DE1827" w14:textId="2237432A" w:rsidR="0092508E" w:rsidRPr="001A1691" w:rsidRDefault="00D978CA" w:rsidP="001A1691">
      <w:pPr>
        <w:spacing w:line="360" w:lineRule="auto"/>
        <w:rPr>
          <w:rFonts w:ascii="Tahoma" w:hAnsi="Tahoma" w:cs="Tahoma"/>
        </w:rPr>
      </w:pPr>
    </w:p>
    <w:p w14:paraId="3BB4B7D4" w14:textId="14C9E58F" w:rsidR="001A1691" w:rsidRDefault="001A1691" w:rsidP="001A1691">
      <w:pPr>
        <w:spacing w:before="120"/>
        <w:ind w:right="536"/>
        <w:jc w:val="both"/>
        <w:rPr>
          <w:rFonts w:ascii="Tahoma" w:eastAsia="Calibri" w:hAnsi="Tahoma" w:cs="Tahoma"/>
          <w:sz w:val="22"/>
          <w:szCs w:val="22"/>
          <w:u w:val="single"/>
        </w:rPr>
      </w:pPr>
      <w:r>
        <w:rPr>
          <w:rFonts w:ascii="Tahoma" w:eastAsia="Calibri" w:hAnsi="Tahoma" w:cs="Tahoma"/>
          <w:u w:val="single"/>
        </w:rPr>
        <w:t xml:space="preserve">Niespełnienie choćby jednego z wymaganych warunków/parametrów określonych powyżej w Szczegółowym opisie przedmiotu objętego zapytaniem spowoduje odrzucenie oferty. </w:t>
      </w:r>
    </w:p>
    <w:p w14:paraId="3D185549" w14:textId="698C9FBE" w:rsidR="006B6CA6" w:rsidRPr="001A1691" w:rsidRDefault="006B6CA6" w:rsidP="001A1691">
      <w:pPr>
        <w:spacing w:line="360" w:lineRule="auto"/>
        <w:rPr>
          <w:rFonts w:ascii="Tahoma" w:hAnsi="Tahoma" w:cs="Tahoma"/>
        </w:rPr>
      </w:pPr>
    </w:p>
    <w:p w14:paraId="0A66F0C9" w14:textId="77777777" w:rsidR="006B6CA6" w:rsidRPr="001A1691" w:rsidRDefault="006B6CA6" w:rsidP="001A1691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</w:rPr>
      </w:pPr>
      <w:r w:rsidRPr="001A1691">
        <w:rPr>
          <w:rFonts w:ascii="Tahoma" w:hAnsi="Tahoma" w:cs="Tahoma"/>
          <w:b/>
        </w:rPr>
        <w:t>Podpis:</w:t>
      </w:r>
    </w:p>
    <w:p w14:paraId="2A300D23" w14:textId="77777777" w:rsidR="006B6CA6" w:rsidRPr="001A1691" w:rsidRDefault="006B6CA6" w:rsidP="001A1691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/>
        </w:rPr>
      </w:pPr>
    </w:p>
    <w:p w14:paraId="1074C173" w14:textId="23CF9A63" w:rsidR="006B6CA6" w:rsidRPr="001A1691" w:rsidRDefault="006B6CA6" w:rsidP="001A1691">
      <w:pPr>
        <w:pStyle w:val="Tekstpodstawowy2"/>
        <w:tabs>
          <w:tab w:val="left" w:pos="360"/>
        </w:tabs>
        <w:spacing w:before="120" w:line="360" w:lineRule="auto"/>
        <w:rPr>
          <w:rFonts w:ascii="Tahoma" w:hAnsi="Tahoma" w:cs="Tahoma"/>
          <w:bCs/>
        </w:rPr>
      </w:pPr>
      <w:r w:rsidRPr="001A1691">
        <w:rPr>
          <w:rFonts w:ascii="Tahoma" w:hAnsi="Tahoma" w:cs="Tahoma"/>
          <w:bCs/>
        </w:rPr>
        <w:t>(Data i podpis osoby uprawnionej)</w:t>
      </w:r>
    </w:p>
    <w:p w14:paraId="52D92E23" w14:textId="77777777" w:rsidR="006B6CA6" w:rsidRPr="001A1691" w:rsidRDefault="006B6CA6" w:rsidP="001A1691">
      <w:pPr>
        <w:spacing w:line="360" w:lineRule="auto"/>
        <w:rPr>
          <w:rFonts w:ascii="Tahoma" w:hAnsi="Tahoma" w:cs="Tahoma"/>
        </w:rPr>
      </w:pPr>
    </w:p>
    <w:sectPr w:rsidR="006B6CA6" w:rsidRPr="001A1691" w:rsidSect="007D78D7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FECDB" w14:textId="77777777" w:rsidR="00F41402" w:rsidRDefault="00F41402" w:rsidP="007D78D7">
      <w:r>
        <w:separator/>
      </w:r>
    </w:p>
  </w:endnote>
  <w:endnote w:type="continuationSeparator" w:id="0">
    <w:p w14:paraId="21E60A7F" w14:textId="77777777" w:rsidR="00F41402" w:rsidRDefault="00F41402" w:rsidP="007D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umberland AMT">
    <w:altName w:val="Courier New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E8B35" w14:textId="77777777" w:rsidR="007D78D7" w:rsidRDefault="007D78D7">
    <w:pPr>
      <w:pStyle w:val="Stopka"/>
    </w:pPr>
    <w:r>
      <w:t xml:space="preserve">       </w:t>
    </w:r>
    <w:r w:rsidR="00231023">
      <w:t xml:space="preserve">       </w:t>
    </w:r>
    <w:r>
      <w:t xml:space="preserve">          </w:t>
    </w:r>
    <w:r w:rsidR="00B40AA2">
      <w:rPr>
        <w:noProof/>
      </w:rPr>
      <w:drawing>
        <wp:inline distT="0" distB="0" distL="0" distR="0" wp14:anchorId="7AFD5950" wp14:editId="64584035">
          <wp:extent cx="7591425" cy="71068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a z abm długie poziome 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9807" cy="750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1981F" w14:textId="77777777" w:rsidR="00F41402" w:rsidRDefault="00F41402" w:rsidP="007D78D7">
      <w:r>
        <w:separator/>
      </w:r>
    </w:p>
  </w:footnote>
  <w:footnote w:type="continuationSeparator" w:id="0">
    <w:p w14:paraId="0B5B7DC3" w14:textId="77777777" w:rsidR="00F41402" w:rsidRDefault="00F41402" w:rsidP="007D7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318A2"/>
    <w:multiLevelType w:val="hybridMultilevel"/>
    <w:tmpl w:val="17EE546E"/>
    <w:lvl w:ilvl="0" w:tplc="7458DFE2">
      <w:start w:val="1"/>
      <w:numFmt w:val="decimal"/>
      <w:lvlText w:val="%1."/>
      <w:lvlJc w:val="left"/>
      <w:pPr>
        <w:ind w:left="643" w:hanging="360"/>
      </w:pPr>
      <w:rPr>
        <w:rFonts w:asciiTheme="minorHAnsi" w:hAnsiTheme="minorHAnsi" w:cstheme="minorHAnsi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D7"/>
    <w:rsid w:val="00003A97"/>
    <w:rsid w:val="0003158B"/>
    <w:rsid w:val="000A56CE"/>
    <w:rsid w:val="001A1691"/>
    <w:rsid w:val="001A7F5B"/>
    <w:rsid w:val="0020154D"/>
    <w:rsid w:val="00231023"/>
    <w:rsid w:val="00231D66"/>
    <w:rsid w:val="00263065"/>
    <w:rsid w:val="00271ABD"/>
    <w:rsid w:val="002C3448"/>
    <w:rsid w:val="003125EC"/>
    <w:rsid w:val="00400959"/>
    <w:rsid w:val="004765A4"/>
    <w:rsid w:val="00527A75"/>
    <w:rsid w:val="00562A13"/>
    <w:rsid w:val="00563FAB"/>
    <w:rsid w:val="00572483"/>
    <w:rsid w:val="005D6600"/>
    <w:rsid w:val="005E5BD5"/>
    <w:rsid w:val="00643B21"/>
    <w:rsid w:val="006B6CA6"/>
    <w:rsid w:val="00754BBD"/>
    <w:rsid w:val="007D78D7"/>
    <w:rsid w:val="00812F4A"/>
    <w:rsid w:val="00942B26"/>
    <w:rsid w:val="00962E52"/>
    <w:rsid w:val="00964BBA"/>
    <w:rsid w:val="00967E9A"/>
    <w:rsid w:val="0097338A"/>
    <w:rsid w:val="009779B4"/>
    <w:rsid w:val="009C5CE2"/>
    <w:rsid w:val="009F725F"/>
    <w:rsid w:val="00A05D25"/>
    <w:rsid w:val="00A1101D"/>
    <w:rsid w:val="00A44092"/>
    <w:rsid w:val="00AC680D"/>
    <w:rsid w:val="00B40AA2"/>
    <w:rsid w:val="00B5548A"/>
    <w:rsid w:val="00BE16F1"/>
    <w:rsid w:val="00BE6917"/>
    <w:rsid w:val="00C561E0"/>
    <w:rsid w:val="00C96CC4"/>
    <w:rsid w:val="00D978CA"/>
    <w:rsid w:val="00E50AE7"/>
    <w:rsid w:val="00E818EB"/>
    <w:rsid w:val="00EC4695"/>
    <w:rsid w:val="00F20936"/>
    <w:rsid w:val="00F41402"/>
    <w:rsid w:val="00F45A70"/>
    <w:rsid w:val="00F67E34"/>
    <w:rsid w:val="00FA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861685B"/>
  <w15:docId w15:val="{61872823-278E-4398-ACAC-CA393C6E5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78D7"/>
  </w:style>
  <w:style w:type="paragraph" w:styleId="Stopka">
    <w:name w:val="footer"/>
    <w:basedOn w:val="Normalny"/>
    <w:link w:val="StopkaZnak"/>
    <w:uiPriority w:val="99"/>
    <w:unhideWhenUsed/>
    <w:rsid w:val="007D78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78D7"/>
  </w:style>
  <w:style w:type="paragraph" w:styleId="Tekstpodstawowywcity">
    <w:name w:val="Body Text Indent"/>
    <w:basedOn w:val="Normalny"/>
    <w:link w:val="TekstpodstawowywcityZnak"/>
    <w:rsid w:val="0097338A"/>
    <w:pPr>
      <w:ind w:left="2410" w:hanging="2410"/>
    </w:pPr>
    <w:rPr>
      <w:rFonts w:ascii="Arial" w:hAnsi="Arial"/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7338A"/>
    <w:rPr>
      <w:rFonts w:ascii="Arial" w:eastAsia="Times New Roman" w:hAnsi="Arial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733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733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6B6CA6"/>
    <w:pPr>
      <w:spacing w:after="120" w:line="480" w:lineRule="auto"/>
    </w:pPr>
    <w:rPr>
      <w:lang w:val="x-none" w:eastAsia="x-none"/>
    </w:rPr>
  </w:style>
  <w:style w:type="character" w:customStyle="1" w:styleId="Tekstpodstawowy2Znak">
    <w:name w:val="Tekst podstawowy 2 Znak"/>
    <w:basedOn w:val="Domylnaczcionkaakapitu"/>
    <w:link w:val="Tekstpodstawowy2"/>
    <w:rsid w:val="006B6CA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0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0936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1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1108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martacholubek</dc:creator>
  <cp:keywords/>
  <dc:description/>
  <cp:lastModifiedBy>Joanna Kaproń</cp:lastModifiedBy>
  <cp:revision>3</cp:revision>
  <dcterms:created xsi:type="dcterms:W3CDTF">2025-07-04T06:22:00Z</dcterms:created>
  <dcterms:modified xsi:type="dcterms:W3CDTF">2025-07-04T06:22:00Z</dcterms:modified>
</cp:coreProperties>
</file>